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7D" w:rsidRPr="00113B7D" w:rsidRDefault="00113B7D" w:rsidP="00113B7D">
      <w:r w:rsidRPr="00113B7D">
        <w:t>La Camera,</w:t>
      </w:r>
      <w:r w:rsidRPr="00113B7D">
        <w:br/>
      </w:r>
      <w:r w:rsidRPr="00113B7D">
        <w:t> </w:t>
      </w:r>
      <w:r w:rsidRPr="00113B7D">
        <w:t> </w:t>
      </w:r>
      <w:r w:rsidRPr="00113B7D">
        <w:t> </w:t>
      </w:r>
      <w:r w:rsidRPr="00113B7D">
        <w:t>premesso che:</w:t>
      </w:r>
      <w:r w:rsidRPr="00113B7D">
        <w:br/>
      </w:r>
      <w:r w:rsidRPr="00113B7D">
        <w:t> </w:t>
      </w:r>
      <w:r w:rsidRPr="00113B7D">
        <w:t> </w:t>
      </w:r>
      <w:r w:rsidRPr="00113B7D">
        <w:t> </w:t>
      </w:r>
      <w:r w:rsidRPr="00113B7D">
        <w:t> </w:t>
      </w:r>
      <w:r w:rsidRPr="00113B7D">
        <w:t xml:space="preserve">la riforma interviene, tra l'altro, con disposizioni immediatamente </w:t>
      </w:r>
      <w:proofErr w:type="spellStart"/>
      <w:r w:rsidRPr="00113B7D">
        <w:t>precettive</w:t>
      </w:r>
      <w:proofErr w:type="spellEnd"/>
      <w:r w:rsidRPr="00113B7D">
        <w:t>, sui tempi di definizione della fase delle indagini preliminari, nella prospettiva di evitare che possano verificarsi stasi arbitrarie tra la chiusura delle attività di investigazione e il momento, meramente valutativo, in cui il magistrato del pubblico ministero è chiamato a trarre le necessarie conclusioni sui risultati ottenuti;</w:t>
      </w:r>
      <w:r w:rsidRPr="00113B7D">
        <w:br/>
      </w:r>
      <w:r w:rsidRPr="00113B7D">
        <w:t> </w:t>
      </w:r>
      <w:r w:rsidRPr="00113B7D">
        <w:t> </w:t>
      </w:r>
      <w:r w:rsidRPr="00113B7D">
        <w:t> </w:t>
      </w:r>
      <w:r w:rsidRPr="00113B7D">
        <w:t> </w:t>
      </w:r>
      <w:r w:rsidRPr="00113B7D">
        <w:t>lo strumento di controllo predisposto per scongiurare il rischio di questi «tempi morti», che si situano nello spazio delle indagini preliminari, è costituito dall'avocazione del procuratore generale della Corte di appello;</w:t>
      </w:r>
      <w:r w:rsidRPr="00113B7D">
        <w:br/>
      </w:r>
      <w:r w:rsidRPr="00113B7D">
        <w:t> </w:t>
      </w:r>
      <w:r w:rsidRPr="00113B7D">
        <w:t> </w:t>
      </w:r>
      <w:r w:rsidRPr="00113B7D">
        <w:t> </w:t>
      </w:r>
      <w:r w:rsidRPr="00113B7D">
        <w:t> </w:t>
      </w:r>
      <w:r w:rsidRPr="00113B7D">
        <w:t>il controllo sostitutivo per mezzo dell'avocazione è presidio tanto più efficace quanto più concretamente utilizzato con la necessaria misura e cautela;</w:t>
      </w:r>
      <w:r w:rsidRPr="00113B7D">
        <w:br/>
      </w:r>
      <w:r w:rsidRPr="00113B7D">
        <w:t> </w:t>
      </w:r>
      <w:r w:rsidRPr="00113B7D">
        <w:t> </w:t>
      </w:r>
      <w:r w:rsidRPr="00113B7D">
        <w:t> </w:t>
      </w:r>
      <w:r w:rsidRPr="00113B7D">
        <w:t> </w:t>
      </w:r>
      <w:r w:rsidRPr="00113B7D">
        <w:t>il senso della riforma è quello di contrastare le omissioni valutative del magistrato del pubblico ministero ad assumere le determinazioni finali ai fini dell'alternativa decisoria: archiviazione – giudizio, senza stasi temporali di mera inerzia, durante le quali continua a maturare anche il termine per la prescrizione;</w:t>
      </w:r>
      <w:r w:rsidRPr="00113B7D">
        <w:br/>
      </w:r>
      <w:r w:rsidRPr="00113B7D">
        <w:t> </w:t>
      </w:r>
      <w:r w:rsidRPr="00113B7D">
        <w:t> </w:t>
      </w:r>
      <w:r w:rsidRPr="00113B7D">
        <w:t> </w:t>
      </w:r>
      <w:r w:rsidRPr="00113B7D">
        <w:t> </w:t>
      </w:r>
      <w:r w:rsidRPr="00113B7D">
        <w:t xml:space="preserve">sarebbe contraria alla </w:t>
      </w:r>
      <w:proofErr w:type="spellStart"/>
      <w:r w:rsidRPr="00113B7D">
        <w:rPr>
          <w:i/>
          <w:iCs/>
        </w:rPr>
        <w:t>ratio</w:t>
      </w:r>
      <w:proofErr w:type="spellEnd"/>
      <w:r w:rsidRPr="00113B7D">
        <w:rPr>
          <w:i/>
          <w:iCs/>
        </w:rPr>
        <w:t xml:space="preserve"> </w:t>
      </w:r>
      <w:proofErr w:type="spellStart"/>
      <w:r w:rsidRPr="00113B7D">
        <w:rPr>
          <w:i/>
          <w:iCs/>
        </w:rPr>
        <w:t>legis</w:t>
      </w:r>
      <w:proofErr w:type="spellEnd"/>
      <w:r w:rsidRPr="00113B7D">
        <w:t xml:space="preserve"> una lettura che individuasse il presupposto operativo dell'avocazione nel mero decorso del termine, e non invece dell'omissione decisoria del magistrato del pubblico ministero;</w:t>
      </w:r>
      <w:r w:rsidRPr="00113B7D">
        <w:br/>
      </w:r>
      <w:r w:rsidRPr="00113B7D">
        <w:t> </w:t>
      </w:r>
      <w:r w:rsidRPr="00113B7D">
        <w:t> </w:t>
      </w:r>
      <w:r w:rsidRPr="00113B7D">
        <w:t> </w:t>
      </w:r>
      <w:r w:rsidRPr="00113B7D">
        <w:t> </w:t>
      </w:r>
      <w:r w:rsidRPr="00113B7D">
        <w:t>il Governo assicuri un monitoraggio sin dalle prime applicazioni della legge al fine di verificare l'adeguatezza delle misure organizzative poste in essere dagli uffici delle Procure presso i Tribunali e delle Procure generali finalizzate all'attuazione della normativa,</w:t>
      </w:r>
    </w:p>
    <w:p w:rsidR="00113B7D" w:rsidRPr="00113B7D" w:rsidRDefault="00113B7D" w:rsidP="00113B7D">
      <w:r w:rsidRPr="00113B7D">
        <w:t>impegna il Governo</w:t>
      </w:r>
    </w:p>
    <w:p w:rsidR="00113B7D" w:rsidRPr="00113B7D" w:rsidRDefault="00113B7D" w:rsidP="00113B7D">
      <w:r w:rsidRPr="00113B7D">
        <w:t>a predisporre, sin da subito, un adeguato e puntuale monitoraggio dell'applicazione delle disposizioni in tema di avocazione delle indagini per inerzia del pubblico ministero, secondo le previsioni normative di cui ai novellati articoli 407, comma 3-</w:t>
      </w:r>
      <w:r w:rsidRPr="00113B7D">
        <w:rPr>
          <w:i/>
          <w:iCs/>
        </w:rPr>
        <w:t>bis</w:t>
      </w:r>
      <w:r w:rsidRPr="00113B7D">
        <w:t xml:space="preserve"> e 412 </w:t>
      </w:r>
      <w:proofErr w:type="spellStart"/>
      <w:r w:rsidRPr="00113B7D">
        <w:t>c.p.p.</w:t>
      </w:r>
      <w:proofErr w:type="spellEnd"/>
      <w:r w:rsidRPr="00113B7D">
        <w:t>, al fine di valutare tempestivamente l'adeguatezza della riforma alla migliore risoluzione delle questioni che la legge intende affrontare.</w:t>
      </w:r>
      <w:r w:rsidRPr="00113B7D">
        <w:br/>
        <w:t>9/4368/</w:t>
      </w:r>
      <w:r w:rsidRPr="00113B7D">
        <w:rPr>
          <w:b/>
          <w:bCs/>
        </w:rPr>
        <w:t>53</w:t>
      </w:r>
      <w:r w:rsidRPr="00113B7D">
        <w:t xml:space="preserve">. </w:t>
      </w:r>
      <w:hyperlink r:id="rId4" w:tooltip="Vai alla scheda personale: ROSSOMANDO Anna" w:history="1">
        <w:r w:rsidRPr="00113B7D">
          <w:rPr>
            <w:rStyle w:val="Collegamentoipertestuale"/>
          </w:rPr>
          <w:t>Rossomando</w:t>
        </w:r>
      </w:hyperlink>
      <w:r w:rsidRPr="00113B7D">
        <w:t xml:space="preserve">, </w:t>
      </w:r>
      <w:hyperlink r:id="rId5" w:tooltip="Vai alla scheda personale: PALESE Rocco" w:history="1">
        <w:r w:rsidRPr="00113B7D">
          <w:rPr>
            <w:rStyle w:val="Collegamentoipertestuale"/>
          </w:rPr>
          <w:t>Palese</w:t>
        </w:r>
      </w:hyperlink>
      <w:r w:rsidRPr="00113B7D">
        <w:t>.</w:t>
      </w:r>
    </w:p>
    <w:p w:rsidR="00C065E2" w:rsidRDefault="00C065E2"/>
    <w:sectPr w:rsidR="00C065E2" w:rsidSect="00C06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13B7D"/>
    <w:rsid w:val="00113B7D"/>
    <w:rsid w:val="00360F76"/>
    <w:rsid w:val="0042743E"/>
    <w:rsid w:val="00C0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5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3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69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291399043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384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776501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umenti.intra.camera.it/apps/commonServices/getDocumento.ashx?sezione=deputati&amp;tipoDoc=schedaDeputato&amp;idLegislatura=17&amp;idPersona=305959&amp;webType=Normale&amp;http_referer=https://portale.intra.camera.it/portal/portal" TargetMode="External"/><Relationship Id="rId4" Type="http://schemas.openxmlformats.org/officeDocument/2006/relationships/hyperlink" Target="https://documenti.intra.camera.it/apps/commonServices/getDocumento.ashx?sezione=deputati&amp;tipoDoc=schedaDeputato&amp;idLegislatura=17&amp;idPersona=302780&amp;webType=Normale&amp;http_referer=https://portale.intra.camera.it/portal/port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2017-06-16T11:51:00Z</dcterms:created>
  <dcterms:modified xsi:type="dcterms:W3CDTF">2017-06-16T11:51:00Z</dcterms:modified>
</cp:coreProperties>
</file>